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7AB" w:rsidRPr="005837AB" w:rsidRDefault="005837AB" w:rsidP="005837AB">
      <w:pPr>
        <w:bidi/>
        <w:spacing w:after="0"/>
        <w:ind w:firstLine="360"/>
        <w:jc w:val="both"/>
        <w:rPr>
          <w:rFonts w:ascii="Tahoma" w:eastAsia="Calibri" w:hAnsi="Tahoma" w:cs="B Lotus"/>
          <w:sz w:val="24"/>
          <w:szCs w:val="24"/>
          <w:rtl/>
          <w:lang w:val="en-GB" w:bidi="fa-IR"/>
        </w:rPr>
      </w:pPr>
      <w:bookmarkStart w:id="0" w:name="_GoBack"/>
      <w:bookmarkEnd w:id="0"/>
      <w:r w:rsidRPr="005837AB">
        <w:rPr>
          <w:rFonts w:ascii="Tahoma" w:eastAsia="Calibri" w:hAnsi="Tahoma" w:cs="B Lotus" w:hint="cs"/>
          <w:sz w:val="24"/>
          <w:szCs w:val="24"/>
          <w:rtl/>
          <w:lang w:val="en-GB" w:bidi="fa-IR"/>
        </w:rPr>
        <w:t>داروین در برابر والاس</w:t>
      </w:r>
    </w:p>
    <w:p w:rsidR="005837AB" w:rsidRPr="005837AB" w:rsidRDefault="005837AB" w:rsidP="005837AB">
      <w:pPr>
        <w:bidi/>
        <w:spacing w:after="0"/>
        <w:ind w:firstLine="360"/>
        <w:jc w:val="both"/>
        <w:rPr>
          <w:rFonts w:ascii="Tahoma" w:eastAsia="Calibri" w:hAnsi="Tahoma" w:cs="B Lotus"/>
          <w:sz w:val="24"/>
          <w:szCs w:val="24"/>
          <w:rtl/>
          <w:lang w:val="en-GB" w:bidi="fa-IR"/>
        </w:rPr>
      </w:pPr>
      <w:r w:rsidRPr="005837AB">
        <w:rPr>
          <w:rFonts w:ascii="Tahoma" w:eastAsia="Calibri" w:hAnsi="Tahoma" w:cs="B Lotus" w:hint="cs"/>
          <w:sz w:val="24"/>
          <w:szCs w:val="24"/>
          <w:rtl/>
          <w:lang w:val="en-GB" w:bidi="fa-IR"/>
        </w:rPr>
        <w:t>منبع: صفحه از کتاب انسان شناسی زیستی، استانفورد و دیگران</w:t>
      </w:r>
      <w:r>
        <w:rPr>
          <w:rFonts w:ascii="Tahoma" w:eastAsia="Calibri" w:hAnsi="Tahoma" w:cs="B Lotus"/>
          <w:sz w:val="24"/>
          <w:szCs w:val="24"/>
          <w:lang w:val="en-GB" w:bidi="fa-IR"/>
        </w:rPr>
        <w:t>*</w:t>
      </w:r>
    </w:p>
    <w:p w:rsidR="005837AB" w:rsidRPr="005837AB" w:rsidRDefault="005837AB" w:rsidP="005837AB">
      <w:pPr>
        <w:bidi/>
        <w:spacing w:after="0"/>
        <w:ind w:firstLine="360"/>
        <w:jc w:val="both"/>
        <w:rPr>
          <w:rFonts w:ascii="Tahoma" w:eastAsia="Calibri" w:hAnsi="Tahoma" w:cs="B Lotus"/>
          <w:sz w:val="24"/>
          <w:szCs w:val="24"/>
          <w:rtl/>
          <w:lang w:val="en-GB" w:bidi="fa-IR"/>
        </w:rPr>
      </w:pPr>
      <w:r w:rsidRPr="005837AB">
        <w:rPr>
          <w:rFonts w:ascii="Tahoma" w:eastAsia="Calibri" w:hAnsi="Tahoma" w:cs="B Lotus" w:hint="cs"/>
          <w:sz w:val="24"/>
          <w:szCs w:val="24"/>
          <w:rtl/>
          <w:lang w:val="en-GB" w:bidi="fa-IR"/>
        </w:rPr>
        <w:t>ترجمه: هادی علایی</w:t>
      </w:r>
    </w:p>
    <w:p w:rsidR="005837AB" w:rsidRPr="005837AB" w:rsidRDefault="005837AB" w:rsidP="005837AB">
      <w:pPr>
        <w:bidi/>
        <w:spacing w:after="0"/>
        <w:ind w:firstLine="360"/>
        <w:jc w:val="both"/>
        <w:rPr>
          <w:rFonts w:ascii="Tahoma" w:eastAsia="Calibri" w:hAnsi="Tahoma" w:cs="B Lotus"/>
          <w:sz w:val="24"/>
          <w:szCs w:val="24"/>
          <w:rtl/>
          <w:lang w:val="en-GB" w:bidi="fa-IR"/>
        </w:rPr>
      </w:pP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t>تصور کنید دانشمندی برجسته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اید که به مدت 20 سال، شبانه روز بر روی نظریه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 xml:space="preserve">ای </w:t>
      </w:r>
      <w:r w:rsidRPr="005837AB">
        <w:rPr>
          <w:rFonts w:ascii="Tahoma" w:eastAsia="Calibri" w:hAnsi="Tahoma" w:cs="B Lotus"/>
          <w:sz w:val="24"/>
          <w:szCs w:val="24"/>
          <w:rtl/>
          <w:lang w:bidi="fa-IR"/>
        </w:rPr>
        <w:t>پیش</w:t>
      </w:r>
      <w:r w:rsidRPr="005837AB">
        <w:rPr>
          <w:rFonts w:ascii="Tahoma" w:eastAsia="Calibri" w:hAnsi="Tahoma" w:cs="B Lotus"/>
          <w:sz w:val="24"/>
          <w:szCs w:val="24"/>
          <w:rtl/>
          <w:lang w:bidi="fa-IR"/>
        </w:rPr>
        <w:softHyphen/>
        <w:t>گامانه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t xml:space="preserve"> که یقین دارید انقلابی در علوم زیستی پدید می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آورد، کار می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کنید. بعد ناگهان روزی بسته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پستی کوچکی از همکاری دریافت می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کنید که معصومانه پیش‌نویسی از مشروح همان نظریه را ضمیمه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نامه کرده است. به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علاوه، در متن نامه از شما تقاضا شده تا به بهبود نظریه کمک کرده و پیشنهادات خود را در راستای چگونگی انتشار آن اعلام کنید.</w:t>
      </w:r>
    </w:p>
    <w:p w:rsidR="005837AB" w:rsidRPr="005837AB" w:rsidRDefault="005837AB" w:rsidP="005837AB">
      <w:pPr>
        <w:bidi/>
        <w:spacing w:after="0"/>
        <w:ind w:firstLine="360"/>
        <w:jc w:val="both"/>
        <w:rPr>
          <w:rFonts w:ascii="Tahoma" w:eastAsia="Calibri" w:hAnsi="Tahoma" w:cs="B Lotus"/>
          <w:sz w:val="24"/>
          <w:szCs w:val="24"/>
          <w:rtl/>
          <w:lang w:val="en-GB" w:bidi="fa-IR"/>
        </w:rPr>
      </w:pP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t>این وضعیتی بود که چارلز داروین در یکی از روزهای ژوئن 1858 خود را در آن گرفتار دید. بسته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پستی که در منزلش در انگلستان تحویل گرفت حاوی بسته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ای بود که با کشتی بخار از دورافتاده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ترین نقاط در جزایر اندونزی فرستاده شده بود. بسته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 xml:space="preserve">ی پستی آلفرد </w:t>
      </w:r>
      <w:r w:rsidRPr="005837AB">
        <w:rPr>
          <w:rFonts w:ascii="Tahoma" w:eastAsia="Calibri" w:hAnsi="Tahoma" w:cs="B Lotus"/>
          <w:sz w:val="24"/>
          <w:szCs w:val="24"/>
          <w:rtl/>
          <w:lang w:bidi="fa-IR"/>
        </w:rPr>
        <w:t>راسل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t xml:space="preserve"> والاس 2 ماه در راه بود. پس از آن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که والاس در مقاله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ای کوتاه نظریات اولیه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اش را در مورد تغییرات تطوری در بین جمعیت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های حیوانی منتشر کرده بود، داروین و والاس سال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 به نامه نگاری با یکدیگر پرداخته بودند.</w:t>
      </w:r>
    </w:p>
    <w:p w:rsidR="005837AB" w:rsidRPr="005837AB" w:rsidRDefault="005837AB" w:rsidP="005837AB">
      <w:pPr>
        <w:bidi/>
        <w:spacing w:after="0"/>
        <w:ind w:firstLine="360"/>
        <w:jc w:val="both"/>
        <w:rPr>
          <w:rFonts w:ascii="Tahoma" w:eastAsia="Calibri" w:hAnsi="Tahoma" w:cs="B Lotus"/>
          <w:sz w:val="24"/>
          <w:szCs w:val="24"/>
          <w:rtl/>
          <w:lang w:val="en-GB" w:bidi="fa-IR"/>
        </w:rPr>
      </w:pP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t>توضیحات روی جلد، نشان از ضمیمه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شدن نسخه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ای دست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نویس و با ذکر جزییات از نظریه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ای می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داد که نویسنده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اش سال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 بر روی آن کار کرده بود. والاس عنوان متن دست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نویس خود را چنین تعیین کرده بود:"</w:t>
      </w:r>
      <w:r w:rsidRPr="005837AB">
        <w:rPr>
          <w:rFonts w:ascii="Tahoma" w:eastAsia="Calibri" w:hAnsi="Tahoma" w:cs="B Lotus"/>
          <w:sz w:val="24"/>
          <w:szCs w:val="24"/>
          <w:rtl/>
          <w:lang w:bidi="fa-IR"/>
        </w:rPr>
        <w:t>درباره</w:t>
      </w:r>
      <w:r w:rsidRPr="005837AB">
        <w:rPr>
          <w:rFonts w:ascii="Tahoma" w:eastAsia="Calibri" w:hAnsi="Tahoma" w:cs="B Lotus"/>
          <w:sz w:val="24"/>
          <w:szCs w:val="24"/>
          <w:rtl/>
          <w:lang w:bidi="fa-IR"/>
        </w:rPr>
        <w:softHyphen/>
        <w:t>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t xml:space="preserve"> میل به جدا شدن گونه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 از گونه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پایه". می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توان داروین را در حال باز کردن نامه، هنگامی که صفحه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اول آن متن در پیش چشمانش به حرکت درآمد، تصور کرد. بدون شک، او بلافاصله فهمید که این دست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نویس، نسخه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ای از نظریه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تطور از طریق انتخاب طبیعی را با اندکی تفاوت مطرح می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کند. والاس متن خود را با رد دیدگاه تطوری لامارک آغاز می‌کرد و سپس خطوط اصلی دیدگاه تطوری خود را مشخص می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کرد. این که برخی گونه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 سازگار با طبیعت و برخی دیگر ناسازگارند و همچنین گرایش به ادامه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نسل در بین گونه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های سازگار به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طوری که نسل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های بعدی آن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 سازگاری بیشتری با محیط خود داشته باشند. همچنین او نیز همانند داروین از دیدگاه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های توماس مالتوس پیرامون جمعیت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ها، در متن خود استفاده کرده بود. با این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حال دیدگاه آن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 دو تفاوت عمده با یکدیگر داشت. والاس انتخاب مصنوعی-تولید مثل گزینش شده- را به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عنوان فرایندی متناظر با انتخاب طبیعی رد می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کرد درحالی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که داروین معتقد بود دامداران در اصل از فرایند طولانی انتخاب طبیعی تقلید می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کنند. همچنین والاس در مقایسه با داروین تاکید بیشتری بر جایگزینی گروه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 و گونه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 توسط گروه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 و گونه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های دیگر داشت درحالی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که دیدگاه داروین بیشتر بر افراد متمرکز بود (در این مورد والاس آشکارا در اشتباه بود).</w:t>
      </w:r>
    </w:p>
    <w:p w:rsidR="005837AB" w:rsidRPr="005837AB" w:rsidRDefault="005837AB" w:rsidP="005837AB">
      <w:pPr>
        <w:bidi/>
        <w:spacing w:after="0"/>
        <w:ind w:firstLine="360"/>
        <w:jc w:val="both"/>
        <w:rPr>
          <w:rFonts w:ascii="Tahoma" w:eastAsia="Calibri" w:hAnsi="Tahoma" w:cs="B Lotus"/>
          <w:sz w:val="24"/>
          <w:szCs w:val="24"/>
          <w:rtl/>
          <w:lang w:val="en-GB" w:bidi="fa-IR"/>
        </w:rPr>
      </w:pP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t>اگرچه تاریخ دقیق پاسخ داروین به نامه و دست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نوشته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والاس مشخص نیست اما از نامه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 و یادداشت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های شخصی آن دو چنین برمی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آید که داروین چند هفته صبر کرد. در این مدت، آن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طور که در یادداشت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هایش ثبت کرده، در مورد این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که آیا نظراتش با بازخورد مثبت مواجه می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شود، تردید داشته است. او شباهت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های میان نظریه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خود و نظریه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والاس را چنین بیان می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کند:</w:t>
      </w:r>
    </w:p>
    <w:p w:rsidR="005837AB" w:rsidRPr="005837AB" w:rsidRDefault="005837AB" w:rsidP="005837AB">
      <w:pPr>
        <w:bidi/>
        <w:spacing w:before="240"/>
        <w:ind w:left="1170"/>
        <w:jc w:val="both"/>
        <w:rPr>
          <w:rFonts w:ascii="Tahoma" w:eastAsia="Calibri" w:hAnsi="Tahoma" w:cs="B Lotus"/>
          <w:sz w:val="24"/>
          <w:szCs w:val="24"/>
          <w:rtl/>
          <w:lang w:val="en-GB" w:bidi="fa-IR"/>
        </w:rPr>
      </w:pP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lastRenderedPageBreak/>
        <w:t>هرگز با چنین همزمانی عجیبی روبرو نشده بودم. اگر والاس پیش‌نویس اولیه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ای که در سال 1842 نوشتم را نیز در اختیار داشت، نمی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توانست خلاصه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ای بهتر از این از روی آن بنویسد (براون،2002).</w:t>
      </w:r>
    </w:p>
    <w:p w:rsidR="005837AB" w:rsidRPr="005837AB" w:rsidRDefault="005837AB" w:rsidP="005837AB">
      <w:pPr>
        <w:bidi/>
        <w:spacing w:after="0"/>
        <w:ind w:firstLine="360"/>
        <w:jc w:val="both"/>
        <w:rPr>
          <w:rFonts w:ascii="Tahoma" w:eastAsia="Calibri" w:hAnsi="Tahoma" w:cs="B Lotus"/>
          <w:sz w:val="24"/>
          <w:szCs w:val="24"/>
          <w:rtl/>
          <w:lang w:val="en-GB" w:bidi="fa-IR"/>
        </w:rPr>
      </w:pP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t>در نهایت داروین در نامه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ای محترمانه که در آن اشاره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ای نیز به حق مالکیت شده بود، به والاس پاسخ داد. او به والاس یادآوری کرد که "تابستان امسال بیستمین سالی است که درباره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این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که گونه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 چطور و از چه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طریق از یکدیگر متفاوت می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شوند، تحقیق و تفکر می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کنم". ظاهرا داروین چند هفته در این نگرانی به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سر برد که مبادا اصالت اثرش توسط والاس زیر سوال رود. اما متحدان وی، لایل و هوکر هرگز این نگرانی را نداشتند. آن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 اصرار داشتند که حق تقدم با داروین است و باید در پاسخش به والاس بر این حق تاکید کرده و این نظریات را در جامعه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علمی بریتانیا ارائه کند.</w:t>
      </w:r>
    </w:p>
    <w:p w:rsidR="005837AB" w:rsidRPr="005837AB" w:rsidRDefault="005837AB" w:rsidP="005837AB">
      <w:pPr>
        <w:bidi/>
        <w:spacing w:after="0"/>
        <w:ind w:firstLine="360"/>
        <w:jc w:val="both"/>
        <w:rPr>
          <w:rFonts w:ascii="Tahoma" w:eastAsia="Calibri" w:hAnsi="Tahoma" w:cs="B Lotus"/>
          <w:sz w:val="24"/>
          <w:szCs w:val="24"/>
          <w:rtl/>
          <w:lang w:val="en-GB" w:bidi="fa-IR"/>
        </w:rPr>
      </w:pP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t>داروین و متحدش هوکر در نامه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های جداگانه به والاس پیشنهاد کردند که داروین اجازه داشته باشد تا در جلسه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ای در انجمن لینیان لندن، متنی مشترک با مقدمه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ای از لایل و هوکر را ارائه کند. متنی که هردو نظریه را به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صورت همزمان مطرح می‌کند. والاس از این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که اثرش آن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چنان برجسته بوده که نظر چنین متفکرین بزرگی را به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خود جلب کرده، بسیار خوشحال بود. چند ماه بعد والاس نامه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ای دیگر از هوکر دریافت کرد که به وی اطلاع می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داد جلسه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ارائه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مشترک نظریات داروین-والاس با خواندن دو متن انجام شد، بدین ترتیب که نخست نظریه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داروین و سپس نظریه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والاس خوانده شد. در ادامه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ماجرا، این دیدگاه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 در متنی مشترک به انتشار رسید که در آن ابتدا نام داروین و سپس نام والاس به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عنوان نویسندگان آمده بود. نام اصلی متن دست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نویس والاس تغییر یافته بود و اصطلاح  انتخاب طبیعی که داروین آن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را ابداع کرده بود به آن اضافه شده بود.</w:t>
      </w:r>
    </w:p>
    <w:p w:rsidR="005837AB" w:rsidRPr="005837AB" w:rsidRDefault="005837AB" w:rsidP="005837AB">
      <w:pPr>
        <w:bidi/>
        <w:spacing w:after="0"/>
        <w:ind w:firstLine="360"/>
        <w:jc w:val="both"/>
        <w:rPr>
          <w:rFonts w:ascii="Tahoma" w:eastAsia="Calibri" w:hAnsi="Tahoma" w:cs="B Lotus"/>
          <w:sz w:val="24"/>
          <w:szCs w:val="24"/>
          <w:rtl/>
          <w:lang w:val="en-GB" w:bidi="fa-IR"/>
        </w:rPr>
      </w:pP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t>سه عامل می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توانست نام داروین را به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عنوان بنیان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گذار نظریه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انتخاب طبیعی تضمین کند. نخست، والاس پذیرفت که داروین به مدت 20 سال به تفکر و نوشتن درباره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نظریاتش مشغول بوده و طرحی اولیه از نظریه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اش را در 1845 (در نسخه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بازبینی شده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سفرنامه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کشتی بیگل) منتشر کرده بود. دوم، والاس احترام بسیاری برای داروین به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عنوان فردی از طبقه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بالای اجتماع که متحدان علمی قدرتمندی دارد، قائل بود. سوم، والاس در آن زمان در جنگل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های مالزی به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سر می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برد و درنتیجه قادر نبود شخصا از ادعاهای خود دفاع کند و یا نظریاتش را در انجمن لینیان ارائه کند. اگر والاس آن زمان در لندن بود و اگر این چنین برای همکار ارشدش احترام قائل نبود، شاید نظریه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ی منشاء گونه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ها به گونه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ای دیگر ظهور می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softHyphen/>
        <w:t>کرد.</w:t>
      </w:r>
    </w:p>
    <w:p w:rsidR="005837AB" w:rsidRPr="005B0475" w:rsidRDefault="005837AB" w:rsidP="005837AB">
      <w:pPr>
        <w:bidi/>
        <w:spacing w:before="240" w:after="120" w:line="240" w:lineRule="auto"/>
        <w:jc w:val="center"/>
        <w:rPr>
          <w:rFonts w:ascii="Tahoma" w:eastAsia="Calibri" w:hAnsi="Tahoma" w:cs="Tahoma"/>
          <w:rtl/>
          <w:lang w:val="en-GB" w:bidi="fa-IR"/>
        </w:rPr>
      </w:pPr>
      <w:r w:rsidRPr="005837AB">
        <w:rPr>
          <w:rFonts w:ascii="Tahoma" w:eastAsia="Calibri" w:hAnsi="Tahoma" w:cs="Tahoma"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85725</wp:posOffset>
            </wp:positionV>
            <wp:extent cx="1800860" cy="2409825"/>
            <wp:effectExtent l="19050" t="0" r="8890" b="0"/>
            <wp:wrapSquare wrapText="bothSides"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40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0475">
        <w:rPr>
          <w:rFonts w:ascii="Tahoma" w:eastAsia="Calibri" w:hAnsi="Tahoma" w:cs="Tahoma"/>
          <w:noProof/>
        </w:rPr>
        <w:drawing>
          <wp:inline distT="0" distB="0" distL="0" distR="0">
            <wp:extent cx="2437576" cy="2417197"/>
            <wp:effectExtent l="19050" t="0" r="824" b="0"/>
            <wp:docPr id="2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806" cy="241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7AB" w:rsidRPr="009E2501" w:rsidRDefault="000C7303" w:rsidP="005837AB">
      <w:pPr>
        <w:bidi/>
        <w:spacing w:after="120" w:line="240" w:lineRule="auto"/>
        <w:jc w:val="center"/>
        <w:rPr>
          <w:rFonts w:ascii="Tahoma" w:eastAsia="Calibri" w:hAnsi="Tahoma" w:cs="Tahoma"/>
          <w:sz w:val="18"/>
          <w:szCs w:val="18"/>
          <w:rtl/>
          <w:lang w:bidi="fa-IR"/>
        </w:rPr>
      </w:pPr>
      <w:r>
        <w:rPr>
          <w:rFonts w:ascii="Tahoma" w:eastAsia="Calibri" w:hAnsi="Tahoma" w:cs="Tahoma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-2079625</wp:posOffset>
                </wp:positionH>
                <wp:positionV relativeFrom="paragraph">
                  <wp:posOffset>70485</wp:posOffset>
                </wp:positionV>
                <wp:extent cx="2033905" cy="285750"/>
                <wp:effectExtent l="0" t="0" r="4445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7AB" w:rsidRPr="009E2501" w:rsidRDefault="005837AB" w:rsidP="002F79E3">
                            <w:pPr>
                              <w:bidi/>
                              <w:jc w:val="center"/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9E2501">
                              <w:rPr>
                                <w:rFonts w:ascii="Tahoma" w:eastAsia="Calibri" w:hAnsi="Tahoma" w:cs="Tahom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تصویر</w:t>
                            </w:r>
                            <w:r w:rsidRPr="009E2501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F79E3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lang w:bidi="fa-IR"/>
                              </w:rPr>
                              <w:t>B</w:t>
                            </w:r>
                            <w:r w:rsidRPr="009E2501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9E2501">
                              <w:rPr>
                                <w:rFonts w:ascii="Tahoma" w:eastAsia="Calibri" w:hAnsi="Tahoma" w:cs="Tahom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چارلز</w:t>
                            </w:r>
                            <w:r w:rsidRPr="009E2501">
                              <w:rPr>
                                <w:rFonts w:ascii="Tahoma" w:eastAsia="Calibri" w:hAnsi="Tahoma" w:cs="Tahoma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E2501">
                              <w:rPr>
                                <w:rFonts w:ascii="Tahoma" w:eastAsia="Calibri" w:hAnsi="Tahoma" w:cs="Tahom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داروین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163.75pt;margin-top:5.55pt;width:160.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" stroked="f">
                <v:textbox style="mso-fit-shape-to-text:t" inset="0,0,0,0">
                  <w:txbxContent>
                    <w:p w:rsidR="005837AB" w:rsidRPr="009E2501" w:rsidRDefault="005837AB" w:rsidP="002F79E3">
                      <w:pPr>
                        <w:bidi/>
                        <w:jc w:val="center"/>
                        <w:rPr>
                          <w:rFonts w:ascii="Tahoma" w:eastAsia="Calibri" w:hAnsi="Tahoma" w:cs="Tahoma"/>
                          <w:sz w:val="18"/>
                          <w:szCs w:val="18"/>
                          <w:lang w:bidi="fa-IR"/>
                        </w:rPr>
                      </w:pPr>
                      <w:r w:rsidRPr="009E2501">
                        <w:rPr>
                          <w:rFonts w:ascii="Tahoma" w:eastAsia="Calibri" w:hAnsi="Tahoma" w:cs="Tahoma" w:hint="cs"/>
                          <w:sz w:val="18"/>
                          <w:szCs w:val="18"/>
                          <w:rtl/>
                          <w:lang w:bidi="fa-IR"/>
                        </w:rPr>
                        <w:t>تصویر</w:t>
                      </w:r>
                      <w:r w:rsidRPr="009E2501">
                        <w:rPr>
                          <w:rFonts w:ascii="Tahoma" w:eastAsia="Calibri" w:hAnsi="Tahoma" w:cs="Tahoma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2F79E3">
                        <w:rPr>
                          <w:rFonts w:ascii="Tahoma" w:eastAsia="Calibri" w:hAnsi="Tahoma" w:cs="Tahoma"/>
                          <w:sz w:val="18"/>
                          <w:szCs w:val="18"/>
                          <w:lang w:bidi="fa-IR"/>
                        </w:rPr>
                        <w:t>B</w:t>
                      </w:r>
                      <w:r w:rsidRPr="009E2501">
                        <w:rPr>
                          <w:rFonts w:ascii="Tahoma" w:eastAsia="Calibri" w:hAnsi="Tahoma" w:cs="Tahoma"/>
                          <w:sz w:val="18"/>
                          <w:szCs w:val="18"/>
                          <w:rtl/>
                          <w:lang w:bidi="fa-IR"/>
                        </w:rPr>
                        <w:t xml:space="preserve">: </w:t>
                      </w:r>
                      <w:r w:rsidRPr="009E2501">
                        <w:rPr>
                          <w:rFonts w:ascii="Tahoma" w:eastAsia="Calibri" w:hAnsi="Tahoma" w:cs="Tahoma" w:hint="cs"/>
                          <w:sz w:val="18"/>
                          <w:szCs w:val="18"/>
                          <w:rtl/>
                          <w:lang w:bidi="fa-IR"/>
                        </w:rPr>
                        <w:t>چارلز</w:t>
                      </w:r>
                      <w:r w:rsidRPr="009E2501">
                        <w:rPr>
                          <w:rFonts w:ascii="Tahoma" w:eastAsia="Calibri" w:hAnsi="Tahoma" w:cs="Tahoma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9E2501">
                        <w:rPr>
                          <w:rFonts w:ascii="Tahoma" w:eastAsia="Calibri" w:hAnsi="Tahoma" w:cs="Tahoma" w:hint="cs"/>
                          <w:sz w:val="18"/>
                          <w:szCs w:val="18"/>
                          <w:rtl/>
                          <w:lang w:bidi="fa-IR"/>
                        </w:rPr>
                        <w:t>داروین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37AB" w:rsidRPr="009E2501">
        <w:rPr>
          <w:rFonts w:ascii="Tahoma" w:eastAsia="Calibri" w:hAnsi="Tahoma" w:cs="Tahoma"/>
          <w:sz w:val="18"/>
          <w:szCs w:val="18"/>
          <w:rtl/>
          <w:lang w:bidi="fa-IR"/>
        </w:rPr>
        <w:t>تصو</w:t>
      </w:r>
      <w:r w:rsidR="005837AB" w:rsidRPr="009E2501">
        <w:rPr>
          <w:rFonts w:ascii="Tahoma" w:eastAsia="Calibri" w:hAnsi="Tahoma" w:cs="Tahoma" w:hint="cs"/>
          <w:sz w:val="18"/>
          <w:szCs w:val="18"/>
          <w:rtl/>
          <w:lang w:bidi="fa-IR"/>
        </w:rPr>
        <w:t>یر</w:t>
      </w:r>
      <w:r w:rsidR="005837AB" w:rsidRPr="009E2501">
        <w:rPr>
          <w:rFonts w:ascii="Tahoma" w:eastAsia="Calibri" w:hAnsi="Tahoma" w:cs="Tahoma"/>
          <w:sz w:val="18"/>
          <w:szCs w:val="18"/>
          <w:lang w:bidi="fa-IR"/>
        </w:rPr>
        <w:t>A</w:t>
      </w:r>
      <w:r w:rsidR="005837AB" w:rsidRPr="009E2501">
        <w:rPr>
          <w:rFonts w:ascii="Tahoma" w:eastAsia="Calibri" w:hAnsi="Tahoma" w:cs="Tahoma"/>
          <w:sz w:val="18"/>
          <w:szCs w:val="18"/>
          <w:rtl/>
          <w:lang w:bidi="fa-IR"/>
        </w:rPr>
        <w:t xml:space="preserve">  آلفرد راسل والاس</w:t>
      </w:r>
    </w:p>
    <w:p w:rsidR="005837AB" w:rsidRDefault="005837AB" w:rsidP="005837AB">
      <w:pPr>
        <w:bidi/>
        <w:jc w:val="both"/>
        <w:rPr>
          <w:rFonts w:ascii="Tahoma" w:eastAsia="Calibri" w:hAnsi="Tahoma" w:cs="Tahoma"/>
          <w:rtl/>
          <w:lang w:val="en-GB" w:bidi="fa-IR"/>
        </w:rPr>
      </w:pPr>
    </w:p>
    <w:p w:rsidR="00C72850" w:rsidRPr="005837AB" w:rsidRDefault="005837AB" w:rsidP="005837AB">
      <w:pPr>
        <w:bidi/>
        <w:jc w:val="both"/>
        <w:rPr>
          <w:rFonts w:ascii="Tahoma" w:eastAsia="Calibri" w:hAnsi="Tahoma" w:cs="B Lotus"/>
          <w:sz w:val="24"/>
          <w:szCs w:val="24"/>
          <w:rtl/>
          <w:lang w:val="en-GB" w:bidi="fa-IR"/>
        </w:rPr>
      </w:pP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t xml:space="preserve">مطالب بیشتر در این مورد را در </w:t>
      </w:r>
      <w:r w:rsidRPr="005837AB">
        <w:rPr>
          <w:rFonts w:ascii="Tahoma" w:eastAsia="Calibri" w:hAnsi="Tahoma" w:cs="B Lotus"/>
          <w:sz w:val="24"/>
          <w:szCs w:val="24"/>
          <w:lang w:val="en-GB" w:bidi="fa-IR"/>
        </w:rPr>
        <w:t>myanthrolab.com</w:t>
      </w:r>
      <w:r w:rsidRPr="005837AB">
        <w:rPr>
          <w:rFonts w:ascii="Tahoma" w:eastAsia="Calibri" w:hAnsi="Tahoma" w:cs="B Lotus"/>
          <w:sz w:val="24"/>
          <w:szCs w:val="24"/>
          <w:rtl/>
          <w:lang w:val="en-GB" w:bidi="fa-IR"/>
        </w:rPr>
        <w:t xml:space="preserve"> جستجو کنید.</w:t>
      </w:r>
    </w:p>
    <w:p w:rsidR="005837AB" w:rsidRDefault="005837AB" w:rsidP="005837AB">
      <w:pPr>
        <w:bidi/>
        <w:jc w:val="both"/>
        <w:rPr>
          <w:rFonts w:ascii="Tahoma" w:eastAsia="Calibri" w:hAnsi="Tahoma" w:cs="Tahoma"/>
          <w:rtl/>
          <w:lang w:val="en-GB" w:bidi="fa-IR"/>
        </w:rPr>
      </w:pPr>
    </w:p>
    <w:p w:rsidR="005837AB" w:rsidRDefault="005837AB" w:rsidP="005837AB">
      <w:pPr>
        <w:bidi/>
        <w:jc w:val="both"/>
        <w:rPr>
          <w:rFonts w:ascii="Tahoma" w:eastAsia="Calibri" w:hAnsi="Tahoma" w:cs="B Lotus"/>
          <w:sz w:val="24"/>
          <w:szCs w:val="24"/>
          <w:lang w:val="en-GB" w:bidi="fa-IR"/>
        </w:rPr>
      </w:pPr>
      <w:r w:rsidRPr="005837AB">
        <w:rPr>
          <w:rFonts w:ascii="Tahoma" w:eastAsia="Calibri" w:hAnsi="Tahoma" w:cs="B Lotus" w:hint="cs"/>
          <w:sz w:val="24"/>
          <w:szCs w:val="24"/>
          <w:rtl/>
          <w:lang w:val="en-GB" w:bidi="fa-IR"/>
        </w:rPr>
        <w:t xml:space="preserve">منبع: </w:t>
      </w:r>
    </w:p>
    <w:p w:rsidR="005837AB" w:rsidRDefault="005837AB" w:rsidP="005837AB">
      <w:pPr>
        <w:rPr>
          <w:rFonts w:ascii="SabonLTStd-Roman" w:hAnsi="SabonLTStd-Roman" w:cs="SabonLTStd-Roman"/>
          <w:sz w:val="18"/>
          <w:szCs w:val="18"/>
          <w:rtl/>
        </w:rPr>
      </w:pPr>
      <w:r>
        <w:rPr>
          <w:lang w:bidi="fa-IR"/>
        </w:rPr>
        <w:t>Craig Standford et al</w:t>
      </w:r>
      <w:r w:rsidRPr="00603D9E">
        <w:rPr>
          <w:lang w:bidi="fa-IR"/>
        </w:rPr>
        <w:t xml:space="preserve">, </w:t>
      </w:r>
      <w:r>
        <w:rPr>
          <w:lang w:bidi="fa-IR"/>
        </w:rPr>
        <w:t xml:space="preserve">2013 (third edition), </w:t>
      </w:r>
      <w:r w:rsidRPr="00603D9E">
        <w:rPr>
          <w:lang w:bidi="fa-IR"/>
        </w:rPr>
        <w:t xml:space="preserve">Biological Anthropology; the natural history of human kind, </w:t>
      </w:r>
      <w:r>
        <w:rPr>
          <w:rFonts w:ascii="SabonLTStd-Roman" w:hAnsi="SabonLTStd-Roman" w:cs="SabonLTStd-Roman"/>
          <w:sz w:val="18"/>
          <w:szCs w:val="18"/>
        </w:rPr>
        <w:t>Pearson Education.</w:t>
      </w:r>
    </w:p>
    <w:p w:rsidR="005837AB" w:rsidRPr="005837AB" w:rsidRDefault="005837AB" w:rsidP="005837AB">
      <w:pPr>
        <w:jc w:val="both"/>
        <w:rPr>
          <w:rFonts w:ascii="Tahoma" w:eastAsia="Calibri" w:hAnsi="Tahoma" w:cs="B Lotus"/>
          <w:sz w:val="24"/>
          <w:szCs w:val="24"/>
          <w:rtl/>
          <w:lang w:val="en-GB"/>
        </w:rPr>
      </w:pPr>
    </w:p>
    <w:p w:rsidR="005837AB" w:rsidRPr="005837AB" w:rsidRDefault="005837AB" w:rsidP="005837AB">
      <w:pPr>
        <w:jc w:val="both"/>
      </w:pPr>
    </w:p>
    <w:sectPr w:rsidR="005837AB" w:rsidRPr="005837AB" w:rsidSect="00C72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bon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AB"/>
    <w:rsid w:val="000C7303"/>
    <w:rsid w:val="000E652D"/>
    <w:rsid w:val="00141D80"/>
    <w:rsid w:val="001B7E4C"/>
    <w:rsid w:val="001F22D3"/>
    <w:rsid w:val="002F79E3"/>
    <w:rsid w:val="003D07F7"/>
    <w:rsid w:val="004A02D4"/>
    <w:rsid w:val="005248A8"/>
    <w:rsid w:val="005837AB"/>
    <w:rsid w:val="005B35F6"/>
    <w:rsid w:val="006037A6"/>
    <w:rsid w:val="00623027"/>
    <w:rsid w:val="00642A65"/>
    <w:rsid w:val="00660247"/>
    <w:rsid w:val="00707D74"/>
    <w:rsid w:val="008C71F3"/>
    <w:rsid w:val="008F4CDE"/>
    <w:rsid w:val="00901852"/>
    <w:rsid w:val="009A64F0"/>
    <w:rsid w:val="009C5F52"/>
    <w:rsid w:val="00A55AC8"/>
    <w:rsid w:val="00AC7A4A"/>
    <w:rsid w:val="00AD575D"/>
    <w:rsid w:val="00C72850"/>
    <w:rsid w:val="00C94AB8"/>
    <w:rsid w:val="00CD53C9"/>
    <w:rsid w:val="00CF4198"/>
    <w:rsid w:val="00D6016E"/>
    <w:rsid w:val="00E67448"/>
    <w:rsid w:val="00ED7B6A"/>
    <w:rsid w:val="00E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B979D-D3FF-4E15-A0C2-43FDBB17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</dc:creator>
  <cp:keywords/>
  <dc:description/>
  <cp:lastModifiedBy>Fakouhi</cp:lastModifiedBy>
  <cp:revision>2</cp:revision>
  <dcterms:created xsi:type="dcterms:W3CDTF">2014-10-27T22:44:00Z</dcterms:created>
  <dcterms:modified xsi:type="dcterms:W3CDTF">2014-10-27T22:44:00Z</dcterms:modified>
</cp:coreProperties>
</file>