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E0" w:rsidRPr="0030030F" w:rsidRDefault="008155B7" w:rsidP="00004B1E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val="fr-FR"/>
        </w:rPr>
      </w:pPr>
      <w:bookmarkStart w:id="0" w:name="_GoBack"/>
      <w:bookmarkEnd w:id="0"/>
      <w:r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نحوه‌ی</w:t>
      </w:r>
      <w:r w:rsidR="00C119B5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عملکرد یک </w:t>
      </w:r>
      <w:r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دانش‌آموز</w:t>
      </w:r>
      <w:r w:rsidR="00C119B5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بستگی دارد به 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شرایط و نیز تصویری که او از خود در ذهنش پرورانده.</w:t>
      </w:r>
      <w:r>
        <w:rPr>
          <w:rFonts w:ascii="AkzidenzGroteskBE-BoldIt" w:hAnsi="AkzidenzGroteskBE-BoldIt" w:cs="B Nazanin+ Regular"/>
          <w:sz w:val="28"/>
          <w:szCs w:val="28"/>
          <w:rtl/>
          <w:lang w:val="fr-FR"/>
        </w:rPr>
        <w:t xml:space="preserve"> 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فعالان </w:t>
      </w:r>
      <w:r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حوزه‌ی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روانشناسی اجتماعی دانش آموزان از مدتی پیش تا به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الآن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سعی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کرده‌اند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تا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تأثیر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همکاری یا رقابت و نیز جنسیت را در موفقیت تحصیلی دانش آموزان به تصویر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بکشند</w:t>
      </w:r>
      <w:r w:rsidR="00A15FD2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.</w:t>
      </w:r>
    </w:p>
    <w:p w:rsidR="00A15FD2" w:rsidRPr="0030030F" w:rsidRDefault="00A15FD2" w:rsidP="00004B1E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lang w:val="fr-FR" w:bidi="fa-IR"/>
        </w:rPr>
      </w:pP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معلمان در دفتر خود مشغول به بحث 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تبادل‌نظر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هستند. معلم ریاضی در مورد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دانش‌آموزی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به نام نیکولا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می‌گوید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:</w:t>
      </w:r>
      <w:r w:rsidR="008155B7">
        <w:rPr>
          <w:rFonts w:ascii="AkzidenzGroteskBE-BoldIt" w:hAnsi="AkzidenzGroteskBE-BoldIt" w:cs="B Nazanin+ Regular"/>
          <w:sz w:val="28"/>
          <w:szCs w:val="28"/>
          <w:rtl/>
          <w:lang w:val="fr-FR"/>
        </w:rPr>
        <w:t xml:space="preserve"> «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نیکولا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بی‌اندازه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شلوغ است! او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واقعاً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نمی‌تواند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سر کلاس درس رفتار مناسبی از خود نشان دهد!». معلم تاریخ</w:t>
      </w:r>
      <w:r w:rsidR="008155B7">
        <w:rPr>
          <w:rFonts w:ascii="AkzidenzGroteskBE-BoldIt" w:hAnsi="AkzidenzGroteskBE-BoldIt" w:cs="B Nazanin+ Regular"/>
          <w:sz w:val="28"/>
          <w:szCs w:val="28"/>
          <w:rtl/>
          <w:lang w:val="fr-FR"/>
        </w:rPr>
        <w:t xml:space="preserve"> 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و جغرافیا اما نظر دیگری دارد:</w:t>
      </w:r>
      <w:r w:rsidR="008155B7">
        <w:rPr>
          <w:rFonts w:ascii="AkzidenzGroteskBE-BoldIt" w:hAnsi="AkzidenzGroteskBE-BoldIt" w:cs="B Nazanin+ Regular"/>
          <w:sz w:val="28"/>
          <w:szCs w:val="28"/>
          <w:rtl/>
          <w:lang w:val="fr-FR"/>
        </w:rPr>
        <w:t xml:space="preserve"> «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عجیب است، او در کلاس من رفتار بسیار مناسبی دارد و حتی جزو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بهترین‌ها</w:t>
      </w:r>
      <w:r w:rsidR="00004B1E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ست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!» چنین تفاوتی در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نحوه‌ی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رفتار و عملکرد </w:t>
      </w:r>
      <w:r w:rsidRPr="0030030F">
        <w:rPr>
          <w:rFonts w:ascii="Times New Roman" w:hAnsi="Times New Roman" w:cs="Times New Roman" w:hint="cs"/>
          <w:sz w:val="28"/>
          <w:szCs w:val="28"/>
          <w:rtl/>
          <w:lang w:val="fr-FR"/>
        </w:rPr>
        <w:t>–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چه در مدرسه و چه جامعه- از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کجا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نشئت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می‌گیرد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؟ این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بدون شک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نه‌تنها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در مدرسه بلکه در تمامی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نظام‌های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آموزشی که ارزیابی رفتار و عملکرد دائمی است، مشکلی اساسی محسوب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می‌شود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. باید به این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اعتراف کرد که نه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شناختی و نه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اجتماعی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به‌طور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مستقیم قابل ارزیابی نیستند و تنها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می‌توان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بر اساس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پایه‌ای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از رفتارها 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عملکردها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آن </w:t>
      </w:r>
      <w:r w:rsidR="00004B1E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ها 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را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مورد</w:t>
      </w:r>
      <w:r w:rsidR="00B324AD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بررسی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قرارداد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. یک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ممکن است در یادگیری درس ریاضی استعداد بالایی داشته باشد و در خانه هم خیلی خوب عمل کند، اما به علت عدم وجود بستری مناسب نتواند عملکرد خوبی در کلاس درس داشته باشد</w:t>
      </w:r>
      <w:r w:rsidR="008155B7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؛</w:t>
      </w:r>
      <w:r w:rsidR="008155B7">
        <w:rPr>
          <w:rFonts w:ascii="AkzidenzGroteskBE-BoldIt" w:hAnsi="AkzidenzGroteskBE-BoldIt" w:cs="B Nazanin+ Regular"/>
          <w:sz w:val="28"/>
          <w:szCs w:val="28"/>
          <w:rtl/>
          <w:lang w:val="fr-FR"/>
        </w:rPr>
        <w:t xml:space="preserve"> 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بنابراین بهتر است قبل از آنکه از ناتوانی یک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درزمینه‌ی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خاصی صحبت شود، بررسی بسیار دقیق 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سخت‌گیرانه‌ای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صورت بگیرد. به همین منظور زمانی که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می‌خواهیم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رفتارهای یک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را توضیح دهیم، باید تمامی معیارها،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ارزش‌ها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و نیز اتفاقاتی که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درگذشته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برای او در بسترهای تاریخی، اجتماعی و نیز فرهنگی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رخ‌داده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را بررسی کنیم. مدرسه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به‌طور</w:t>
      </w:r>
      <w:r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مشخص 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محلی 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lastRenderedPageBreak/>
        <w:t xml:space="preserve">شکوفایی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توانایی‌ها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شکل‌گیری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تصویر ذهنی از خود و نیز بروز رفتارهایی است که حداقل بخشی از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آن‌ها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در فرهنگ هر منطقه و کشوری محترم و حائز اهمیت بسیاری بوده و ارزشمند محسوب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می‌شود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. این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مسئله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به‌خصوص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در کشورهای آمریکای شمالی و غرب اروپا جریان دارد. در این کشورها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فرهنگ‌ها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به شکلی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توسعه</w:t>
      </w:r>
      <w:r w:rsidR="00B324AD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‌یافته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که افراد اغلب خود را با دیگران مقایسه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می‌کنند</w:t>
      </w:r>
      <w:r w:rsidR="00E37C3D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. 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این مقایسه بدون شک آثار بسیار مهمی در ابراز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توانایی‌های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دانش آموزان دارد.</w:t>
      </w:r>
      <w:r w:rsidR="008155B7">
        <w:rPr>
          <w:rFonts w:ascii="AkzidenzGroteskBE-BoldIt" w:hAnsi="AkzidenzGroteskBE-BoldIt" w:cs="B Nazanin+ Regular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پررنگ‌ترین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این آثار را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می‌توان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ازیک‌طرف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در مدیریت روابط اجتماعی ایشان با سایرین و نیز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یادگیری‌شان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در کلاس درس یافت. </w:t>
      </w:r>
      <w:r w:rsidR="00004B1E">
        <w:rPr>
          <w:rStyle w:val="FootnoteReference"/>
          <w:rFonts w:ascii="AkzidenzGroteskBE-BoldIt" w:hAnsi="AkzidenzGroteskBE-BoldIt" w:cs="B Nazanin+ Regular"/>
          <w:sz w:val="28"/>
          <w:szCs w:val="28"/>
          <w:rtl/>
          <w:lang w:val="fr-FR"/>
        </w:rPr>
        <w:footnoteReference w:id="1"/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تحقیقات بسیاری نشان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داده‌اند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که این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مسئله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 xml:space="preserve"> از دوران ابتدایی آغاز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می‌شود</w:t>
      </w:r>
      <w:r w:rsidR="00744EE8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/>
        </w:rPr>
        <w:t>.</w:t>
      </w:r>
      <w:r w:rsidR="008155B7">
        <w:rPr>
          <w:rFonts w:ascii="AkzidenzGroteskBE-BoldIt" w:hAnsi="AkzidenzGroteskBE-BoldIt" w:cs="B Nazanin+ Regular"/>
          <w:sz w:val="28"/>
          <w:szCs w:val="28"/>
          <w:rtl/>
          <w:lang w:val="fr-FR" w:bidi="fa-IR"/>
        </w:rPr>
        <w:t xml:space="preserve"> </w:t>
      </w:r>
      <w:r w:rsidR="008155B7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دانش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آموزان با بررسی واکنشی که معلم نسبت به رفتار خود ایشان و یا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همکلاسی‌شان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از خود نشان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می‌دهد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پی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می‌برند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که چگونه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می‌توانند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در کلاس درس مورد تشویق معلم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قرارگرفته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و یا از تنبیه شدن فرار کنند، به همین ترتیب ایشان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ارزش‌ها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و معیارهای حاکم بر کلاس خود را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فرامی‌گیرند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. ایشان یاد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می‌گیرند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که سر کلاس درس نباید بدوند، با دقت به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حرف‌های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معلم خود گوش دهند و ... قوانین و مقرراتی که در بادی امر شرایط اجرا و نیز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معنی‌شان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نامفهوم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می‌نماید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ولی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کم‌کم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با کنترل معلم در کلاس 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به‌خصوص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مقایسه‌ی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دائمی بین خود 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همکلاسی‌هایشان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با این قوانین آشنا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می‌شوند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. این فرایند به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جامعه‌پذیری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دانش‌آموز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نیز کمک زیادی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می‌نماید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.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دانش‌آموز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با طی فرایند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یادشده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ظرفیتی را به دست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می‌آورد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که از آن تحت عنوان ظرفیت اجتماعی یاد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می‌شود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؛ یعنی ظرفیت درک انتظاراتی که فرهنگ حاکم بر جامعه از او دارد و نیز برقراری تعامل مناسب با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همکلاسی‌ها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و </w:t>
      </w:r>
      <w:r w:rsidR="00BA63F4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>هم‌مدرسه‌ای‌های</w:t>
      </w:r>
      <w:r w:rsidR="00F6409B" w:rsidRPr="0030030F">
        <w:rPr>
          <w:rFonts w:ascii="AkzidenzGroteskBE-BoldIt" w:hAnsi="AkzidenzGroteskBE-BoldIt" w:cs="B Nazanin+ Regular" w:hint="cs"/>
          <w:sz w:val="28"/>
          <w:szCs w:val="28"/>
          <w:rtl/>
          <w:lang w:val="fr-FR" w:bidi="fa-IR"/>
        </w:rPr>
        <w:t xml:space="preserve"> خود.</w:t>
      </w:r>
    </w:p>
    <w:p w:rsidR="00F6409B" w:rsidRPr="0030030F" w:rsidRDefault="004F6440" w:rsidP="00B324AD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از آغاز دوران ابتدایی،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مقایسه‌ی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خود </w:t>
      </w:r>
      <w:r w:rsidR="00B324AD">
        <w:rPr>
          <w:rFonts w:ascii="Frutiger-Roman" w:hAnsi="Frutiger-Roman" w:cs="B Nazanin+ Regular" w:hint="cs"/>
          <w:sz w:val="28"/>
          <w:szCs w:val="28"/>
          <w:rtl/>
          <w:lang w:val="fr-FR"/>
        </w:rPr>
        <w:t>با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سایرین سبب افزایش شناخت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نسبت به خود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دانش آموزان که در دوران ابتدایی هنوز شناخت کافی نسبت به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شناختی خود به دست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نیاورده‌اند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توجه بسیاری به نتایجی که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هم‌کلاس‌هایشان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دست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می‌آورند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جایگاه درسی خود در کلاس درس نشان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2"/>
      </w:r>
      <w:r w:rsidR="008155B7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به‌خصوص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مهم‌ترین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درس‌ها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مثل ریاضی.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نتیجه‌گیری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از این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مقایسه‌ها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چه درست باشد و چه غلط سبب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تا وی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کم‌وبیش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شناخت از مفهوم مدرسه و وضعیت خود در آن برسد؛</w:t>
      </w:r>
      <w:r w:rsidR="008155B7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شناختی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موفقیت و شکست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نیز در آن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مؤثر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 و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به‌خودی‌خود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نقش بسیار حائز اهمیتی در </w:t>
      </w:r>
      <w:r w:rsidR="00B324AD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گسترش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شناختی او ایفا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3"/>
      </w:r>
    </w:p>
    <w:p w:rsidR="004F6440" w:rsidRPr="00B324AD" w:rsidRDefault="00D87B9E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</w:pPr>
      <w:r w:rsidRPr="00B324AD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>نقاشی یا هندسه؟</w:t>
      </w:r>
    </w:p>
    <w:p w:rsidR="00D87B9E" w:rsidRPr="0030030F" w:rsidRDefault="00D87B9E" w:rsidP="00B324AD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تحقیقی که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به‌تازگی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صورت گرفته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4"/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از دانش آموزان </w:t>
      </w:r>
      <w:r w:rsidR="00B324AD">
        <w:rPr>
          <w:rFonts w:ascii="Frutiger-Roman" w:hAnsi="Frutiger-Roman" w:cs="B Nazanin+ Regular" w:hint="cs"/>
          <w:sz w:val="28"/>
          <w:szCs w:val="28"/>
          <w:rtl/>
          <w:lang w:val="fr-FR"/>
        </w:rPr>
        <w:t>مقطع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ابتدایی خواستند تا ظرف مدت </w:t>
      </w:r>
      <w:r w:rsidR="008155B7">
        <w:rPr>
          <w:rFonts w:ascii="Frutiger-Roman" w:hAnsi="Frutiger-Roman" w:cs="B Nazanin+ Regular"/>
          <w:sz w:val="28"/>
          <w:szCs w:val="28"/>
          <w:rtl/>
          <w:lang w:val="fr-FR" w:bidi="fa-IR"/>
        </w:rPr>
        <w:t>۵۰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ثانیه شکل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پیچیده‌ای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حفظ کنند، شکلی که هیچ معنی خاصی نیز نداشت. سپس ایشان باید شکل را روی یک برگ کاغذ و با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بهره‌گیری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حافظه‌ی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خود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مجدداً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ترسیم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قبل از شروع این آزمون به دانش آموزان گفته بودند که قرار است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توانایی‌های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ایشان را در </w:t>
      </w:r>
      <w:r w:rsidR="00BA63F4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هندسه یا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نقاشی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نیز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بسنجند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8155B7">
        <w:rPr>
          <w:rFonts w:ascii="Frutiger-Roman" w:hAnsi="Frutiger-Roman" w:cs="B Nazanin+ Regular"/>
          <w:sz w:val="28"/>
          <w:szCs w:val="28"/>
          <w:rtl/>
          <w:lang w:val="fr-FR"/>
        </w:rPr>
        <w:t>(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به‌صورت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تصادفی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دریکی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این دو گرایش قرار داده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می‌شدند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). هدف از به اجرا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درآمدن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مطالعه به تصویر کشیدن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بود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توانایی‌های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مستقیم بستگی دارد به تصویری که ایشان از خودشان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موردنظر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دارند. زمانی که 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واژه‌ی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هندسه به گوششان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می‌رسید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از این لحاظ 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که این درس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سخت‌تر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بوده و بسیاری از ایشان نیز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قبل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پیش‌آمده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بوده که از آن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نمره‌ی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پایینی کسب کنند،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ناخودآگاه ظرفیت مغز ایشان در حفظ کردن و سپس پیاده کردن مطلب فراگرفته شده پایین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می‌آید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</w:p>
    <w:p w:rsidR="00D87B9E" w:rsidRPr="0030030F" w:rsidRDefault="003A7575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جریان تحقیق صورت گرفته،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دانش‌آموزانی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در هندسه عملکرد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پایین‌تری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نسبت به سایرین داشتند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نتیجه‌ی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پایین‌تری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نسبت به 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قوی‌تر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کسب کردند. در مقابل،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نقاشی،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تقریباً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عملکرد تمامی دانش آموزان یکسان بود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چراکه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دیگر تفاوتی بین دانش آموزان خوب و بد وجود نداشت! به این سبب که کاری که دانش آموزان باید انجام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می‌دادند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چه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حوزه‌ی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نقاشی و چه هندسه،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کاملاً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یکسان بود،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کاملاً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اثبات رسید که عملکرد ایشان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مستقیم بستگی داشته به تصویر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ذهنی‌ای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ایشان از خودشان در هر درس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داشته‌اند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8155B7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8155B7">
        <w:rPr>
          <w:rFonts w:ascii="Frutiger-Roman" w:hAnsi="Frutiger-Roman" w:cs="B Nazanin+ Regular" w:hint="cs"/>
          <w:sz w:val="28"/>
          <w:szCs w:val="28"/>
          <w:rtl/>
          <w:lang w:val="fr-FR"/>
        </w:rPr>
        <w:t>نتایجی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مدرسه کسب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بیش از آنکه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نشان‌دهنده‌ی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یادگیری وی باشند،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تأثیر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بستری را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مسئولان و متخصصان باید به دنبال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مختلف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تأثیرگذاری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آن بر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باشند.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5"/>
      </w:r>
    </w:p>
    <w:p w:rsidR="00DE3CEF" w:rsidRPr="0030030F" w:rsidRDefault="00CA5E36" w:rsidP="00B324AD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دقیقاً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همین شکل برای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توانایی‌های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اجتماعی نیز مصداق دارد.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 w:bidi="fa-IR"/>
        </w:rPr>
        <w:footnoteReference w:id="6"/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درواقع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جایگاه دانش آموزان نسبت به یکدیگر در کلاس درس شدت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نحوه‌ی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تعاملات احساسی ایشان را نیز تحت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تأثیر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قرار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می‌دهد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؛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به‌خصوص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کلاس‌هایی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معلم به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شیوه‌های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مختلف جایگاه درسی دانش آموزان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یادآوری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می‌کند</w:t>
      </w:r>
      <w:r w:rsidR="008155B7">
        <w:rPr>
          <w:rFonts w:ascii="Frutiger-Roman" w:hAnsi="Frutiger-Roman" w:cs="B Nazanin+ Regular"/>
          <w:sz w:val="28"/>
          <w:szCs w:val="28"/>
          <w:rtl/>
          <w:lang w:val="fr-FR" w:bidi="fa-IR"/>
        </w:rPr>
        <w:t>.(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برای مثال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می‌توان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گروه‌بندی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کردن بر اساس نمره و یا خواندن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نمره‌ها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حین پخش کردن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برگه‌ها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... اشاره کرد) خطر این شرایط 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lastRenderedPageBreak/>
        <w:t xml:space="preserve">این است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دانش‌آموزانی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وضعیت بهتری دارند ممکن است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به‌تدریج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دانش‌آموزانی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وضعیت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پایین‌تری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دارند فاصله بگیرند. این امر نیز سبب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هم‌گروه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اول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هم‌گروه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دوم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به‌مرورزمان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رفتارشان نسبت به قبل تندتر شود، کمتر به حرف سایرین گوش بدهد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درنتیجه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اجتماعی‌شان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کاهش پیدا کند.</w:t>
      </w:r>
    </w:p>
    <w:p w:rsidR="00CA5E36" w:rsidRPr="0030030F" w:rsidRDefault="003D0173" w:rsidP="00B324AD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 باید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به‌خوبی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مدنظر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قرارداد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دانش‌آموزانی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به‌واسطه‌ی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قربانی وضعیت تحصیلی خود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بعضاً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توسط 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قوی‌تر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کنار گذاشته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اغلب خیلی سریع تصویر ذهنی بدی از خود در ذهنشان شکل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می‌گیرد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. رفتارهایی که چه از طرف 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قوی‌تر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و چه حتی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بعضاً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از طرف معلمان ممکن است نسبت به این دانش آموزان صورت بگیرد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تأثیر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بسیار بدی در رفتارهای اجتماعی ایشان تا دوران نوجوانی خواهد داشت و حتی ممکن است در دوران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بزرگ‌سالی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نیز روی سلامت فکری ایشان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تأثیر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منفی بگذارد.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به‌واسطه‌ی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همین مسائل است که امروزه توجه بسیار زیادی به این حوزه نشان داده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.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نکته‌ی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حائز اهمیت دیگر این است که رفتارهای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تبعیض‌آمیز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اغلب نسبت به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دانش‌آموزانی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صورت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می‌گیرد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به‌واسطه‌ی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باورهایی بدون پایه و اساس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متأسفانه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همه‌ی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جوامع نسبت به بعضی از مذاهب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اصالت‌های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اجتماعی رواج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پیداکرده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است، از دوران کودکی رنگ و روی تبعیض را به خود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می‌بینند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>.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7"/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بنابراین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به‌راحتی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می‌توان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منشأ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اصلی برخی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خشونت‌ها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تبعیض‌هایی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نظر گرفت که از دوران کودکی چه در جامعه و چه در محیط مدرسه در حق نگارندگان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آن‌ها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صورت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می‌پذیرد</w:t>
      </w:r>
      <w:r w:rsidR="008155B7">
        <w:rPr>
          <w:rFonts w:ascii="Frutiger-Roman" w:hAnsi="Frutiger-Roman" w:cs="B Nazanin+ Regular" w:hint="cs"/>
          <w:sz w:val="28"/>
          <w:szCs w:val="28"/>
          <w:rtl/>
          <w:lang w:bidi="fa-IR"/>
        </w:rPr>
        <w:t>؛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اما معلم در این میان چه نقشی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می‌تواند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بر عهده بگیرد؟ وی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می‌تواند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تقسیم‌بندی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دانش آموزان بدون در نظر گرفتن وضعیت درسی </w:t>
      </w:r>
      <w:r w:rsidRPr="00B324AD">
        <w:rPr>
          <w:rFonts w:ascii="Frutiger-Roman" w:hAnsi="Frutiger-Roman" w:cs="B Nazanin+ Regular" w:hint="cs"/>
          <w:sz w:val="28"/>
          <w:szCs w:val="28"/>
          <w:rtl/>
          <w:lang w:bidi="fa-IR"/>
        </w:rPr>
        <w:lastRenderedPageBreak/>
        <w:t xml:space="preserve">ایشان، </w:t>
      </w:r>
      <w:r w:rsidR="00B324AD" w:rsidRPr="00B324AD">
        <w:rPr>
          <w:rFonts w:ascii="Frutiger-Roman" w:hAnsi="Frutiger-Roman" w:cs="B Nazanin+ Regular" w:hint="cs"/>
          <w:sz w:val="28"/>
          <w:szCs w:val="28"/>
          <w:rtl/>
          <w:lang w:bidi="fa-IR"/>
        </w:rPr>
        <w:t>آن‌ها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 وادار کند تا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تمرین‌های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مختلف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به‌صورت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گروهی حل کنند.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="008155B7">
        <w:rPr>
          <w:rFonts w:ascii="Frutiger-Roman" w:hAnsi="Frutiger-Roman" w:cs="B Nazanin+ Regular" w:hint="cs"/>
          <w:sz w:val="28"/>
          <w:szCs w:val="28"/>
          <w:rtl/>
          <w:lang w:bidi="fa-IR"/>
        </w:rPr>
        <w:t>این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فرایند سبب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 دانش آموزان بدون توجه به وضعیت درسی خود را یکدیگر تعامل داشته و به بحث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تبادل‌نظر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بپردازند.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این‌گونه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آموزش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بناشده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پایه‌ی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تعامل سبب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می‌شود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 دانش آموزان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اساسی‌ترین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تعاملات اجتماعی را خیلی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راحت‌تر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فرابگیرند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. مثل شنیدن و احترام گذاشتن به نظرات مخالف که امروزه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به‌خوبی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می‌دانیم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نقش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عمده‌ای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توسعه‌ی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ظرفیت‌های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شناختی ایفا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می‌کند</w:t>
      </w:r>
      <w:r w:rsidR="00183842"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>.</w:t>
      </w:r>
      <w:r w:rsidR="00183842"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8"/>
      </w:r>
    </w:p>
    <w:p w:rsidR="00D75E4B" w:rsidRPr="00B324AD" w:rsidRDefault="00D75E4B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</w:pPr>
      <w:r w:rsidRPr="00B324AD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>رقابت یا همکاری؟</w:t>
      </w:r>
    </w:p>
    <w:p w:rsidR="00D75E4B" w:rsidRPr="0030030F" w:rsidRDefault="00D75E4B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شما باید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مهمی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موردتوجه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قرار دهید</w:t>
      </w:r>
      <w:r w:rsidR="003F6597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رفتار دانش آموزان و نیز میزان محبوبیت ایشان در کلاس درس تنها به محیط کلاس و نیز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="003F6597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اداره‌ی</w:t>
      </w:r>
      <w:r w:rsidR="003F6597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آن توسط معلم بستگی ندارد.</w:t>
      </w:r>
    </w:p>
    <w:p w:rsidR="003F6597" w:rsidRPr="0030030F" w:rsidRDefault="003F6597" w:rsidP="00B324AD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عوامل بسیار دیگری نیز در این میان نقش ایفا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برای مثال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توانایی هر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پی بردن به احساسات خویش و نیز دوستانش و به اشتراک گذاشتن </w:t>
      </w:r>
      <w:r w:rsidR="00B324AD">
        <w:rPr>
          <w:rFonts w:ascii="Frutiger-Roman" w:hAnsi="Frutiger-Roman" w:cs="B Nazanin+ Regular" w:hint="cs"/>
          <w:sz w:val="28"/>
          <w:szCs w:val="28"/>
          <w:rtl/>
          <w:lang w:val="fr-FR"/>
        </w:rPr>
        <w:t>آن ها اشاره کرد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اگر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نداند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همکلاسی‌هایش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چه زمانی خوشحال، ناراحت و یا عصبانی هستند، تعامل با ایشان امری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غیرممکن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خواهد بود. این توانایی نیز بستگی دارد به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پایه‌ای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تجربیات اجتماعی،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به‌خصوص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تجربه‌هایی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در محیط خانه به دست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می‌آیند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ریشه‌ی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جنسیتی نیز دارند. در دنیای امروزی جوامع دختران را به سمت همکاری، همدردی و نوعی هارمونی در روابط اجتماعی سوق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در برابر پسران و مردان بیشتر به دنبال رقابت و رسیدن به قدرت هستند. این خصوصیات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پاره‌ای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رفتارهای هر دو جنس مشاهده کرد. برای مثال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شیوه‌ای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کودکان برای تقسیم کردن چیز باارزشی که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اختیاردارند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کار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می‌برند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فاصله‌ی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8155B7">
        <w:rPr>
          <w:rFonts w:ascii="Frutiger-Roman" w:hAnsi="Frutiger-Roman" w:cs="B Nazanin+ Regular"/>
          <w:sz w:val="28"/>
          <w:szCs w:val="28"/>
          <w:rtl/>
          <w:lang w:val="fr-FR" w:bidi="fa-IR"/>
        </w:rPr>
        <w:t>۳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تا </w:t>
      </w:r>
      <w:r w:rsidR="008155B7">
        <w:rPr>
          <w:rFonts w:ascii="Frutiger-Roman" w:hAnsi="Frutiger-Roman" w:cs="B Nazanin+ Regular"/>
          <w:sz w:val="28"/>
          <w:szCs w:val="28"/>
          <w:rtl/>
          <w:lang w:val="fr-FR" w:bidi="fa-IR"/>
        </w:rPr>
        <w:lastRenderedPageBreak/>
        <w:t>۵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سالگی، </w:t>
      </w:r>
      <w:r w:rsidR="00363A6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هر دو جنس رفتاری فردگرایانه داشته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می‌خواهند</w:t>
      </w:r>
      <w:r w:rsidR="00363A6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دارایی‌شان</w:t>
      </w:r>
      <w:r w:rsidR="00363A6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بیشتر از سایرین باشد.</w:t>
      </w:r>
    </w:p>
    <w:p w:rsidR="00363A66" w:rsidRPr="0030030F" w:rsidRDefault="00363A66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از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۹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سالگی به بعد،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۷۵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پسران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شیوه‌هایی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 به کار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می‌گیرند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به ایشان کمک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می‌کند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منابع بیشتری نسبت به سایرین در اختیار داشته باشند. در برابر تنها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۲۰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دختران رفتاری مشابه از خود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می‌دهند</w:t>
      </w:r>
      <w:r w:rsidR="008155B7">
        <w:rPr>
          <w:rFonts w:ascii="Frutiger-Roman" w:hAnsi="Frutiger-Roman" w:cs="B Nazanin+ Regular" w:hint="cs"/>
          <w:sz w:val="28"/>
          <w:szCs w:val="28"/>
          <w:rtl/>
          <w:lang w:bidi="fa-IR"/>
        </w:rPr>
        <w:t>؛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بنابراین برای پسران ارزش نسبی چیزی که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اختیاردارند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اهمیت بیشتری نسبت به ارزش مطلق آن پیدا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می‌کند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.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به این معناست که ایشان حاضرند برای کاهش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داشته‌های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سایرین، از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داشته‌های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خود نیز بکاهند. این میل در پسران و مردان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نه‌تنها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مخالف الگوی استاندارد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اقتصادی</w:t>
      </w:r>
      <w:r w:rsidR="000F6FE4">
        <w:rPr>
          <w:rFonts w:ascii="Frutiger-Roman" w:hAnsi="Frutiger-Roman" w:cs="B Nazanin+ Regular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است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(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الگویی که مطابق آن مردان همواره به دنبال زیاد کردن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داشته‌های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خود هستند) بلکه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کاملاً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برابر الگوی برابری قرار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می‌گیرد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الگویی که نزد دختران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و</w:t>
      </w:r>
      <w:r w:rsidR="003F5DB0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زنان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بیشتر رواج دارد. در اصل بهتر است منظور خود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این‌گونه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عنوان کنیم که دختران بیشتر از پسران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به‌نظام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ارزش‌های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اخلاقی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بناشده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پایه‌ی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برابری روابط اجتماعی و عدم رنجش سایرین احترام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می‌گذارند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. این الگو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می‌توان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بیان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شناختی هر دو جنس نیز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به‌خوبی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مشاهده کرد.</w:t>
      </w:r>
    </w:p>
    <w:p w:rsidR="00363A66" w:rsidRPr="0030030F" w:rsidRDefault="00997E40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lang w:val="fr-FR" w:bidi="fa-I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>بگذارید منظور خود را با مثالی عینی بیان کنیم</w:t>
      </w:r>
      <w:r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9"/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3F5DB0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: 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از تعداد زیادی کودک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۱۰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۱۲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ساله خواسته شد تا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گروه‌های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8155B7">
        <w:rPr>
          <w:rFonts w:ascii="Frutiger-Roman" w:hAnsi="Frutiger-Roman" w:cs="B Nazanin+ Regular"/>
          <w:sz w:val="28"/>
          <w:szCs w:val="28"/>
          <w:rtl/>
          <w:lang w:bidi="fa-IR"/>
        </w:rPr>
        <w:t>۴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تایی اشکالی مشابه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آنچه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بالاتر ذکر شد را حفظ کنند. مسئول آزمون به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هرکدام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از اعضای گروه، بدون آنکه سایر اعضا در جریان باشند، گفته بود که او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باهوش‌ترین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عضو گروه است. سپس به برخی از دانش آموزان گفتند که نتایج آزمون ایشان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به‌صورت</w:t>
      </w:r>
      <w:r w:rsidRPr="0030030F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علنی اعلام خواهد شد و به مابقی اعلام کردند که نتایجشان مخفی خواهند ماند.</w:t>
      </w:r>
    </w:p>
    <w:p w:rsidR="00997E40" w:rsidRPr="0030030F" w:rsidRDefault="00997E40" w:rsidP="0030030F">
      <w:pPr>
        <w:autoSpaceDE w:val="0"/>
        <w:autoSpaceDN w:val="0"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</w:p>
    <w:p w:rsidR="00997E40" w:rsidRPr="0030030F" w:rsidRDefault="00997E40" w:rsidP="0030030F">
      <w:pPr>
        <w:autoSpaceDE w:val="0"/>
        <w:autoSpaceDN w:val="0"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</w:p>
    <w:p w:rsidR="00317ED3" w:rsidRPr="0030030F" w:rsidRDefault="00317ED3" w:rsidP="003F5DB0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نتایج این تحقیق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به تصویر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می‌کشد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زمانی که پای بیان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ذهنی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به‌صورت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عمومی به میان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می‌آید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دختران و پسران تا چه اندازه رفتار متفاوتی از خود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زمانی که نتایج پسرانی که وضعیت خوبی داشتند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به‌صورت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علنی اعلام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وضعیت آزمون ایشان بهبودی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قابل‌توجهی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پیدا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نسبت به زمانی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نتیجه‌شان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اعلام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نمی‌شد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برای دختران اما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کاملاً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برعکس است. ایشان که حساسیت زیادی نسبت به حفظ روابط اجتماعی </w:t>
      </w:r>
      <w:r w:rsidR="003F5DB0">
        <w:rPr>
          <w:rFonts w:ascii="Frutiger-Roman" w:hAnsi="Frutiger-Roman" w:cs="B Nazanin+ Regular" w:hint="cs"/>
          <w:sz w:val="28"/>
          <w:szCs w:val="28"/>
          <w:rtl/>
          <w:lang w:val="fr-FR"/>
        </w:rPr>
        <w:t>برابر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یکسان دارند،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به‌هیچ‌عنوان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تمایلی بر اینکه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نتیجه‌ی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خوبشان اعلام شود از خود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نمی‌دادند</w:t>
      </w:r>
      <w:r w:rsidR="008155B7">
        <w:rPr>
          <w:rFonts w:ascii="Frutiger-Roman" w:hAnsi="Frutiger-Roman" w:cs="B Nazanin+ Regular" w:hint="cs"/>
          <w:sz w:val="28"/>
          <w:szCs w:val="28"/>
          <w:rtl/>
          <w:lang w:val="fr-FR"/>
        </w:rPr>
        <w:t>؛</w:t>
      </w:r>
      <w:r w:rsidR="008155B7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بنابراین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درونی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سازی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ارزش‌ها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نیز معیارهای حاکم بر یک گروه و رعایت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آن‌ها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بعضاً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برای دخت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رها هزینه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بردارد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در دختران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بعضاً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می‌توان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این رفتار را مشاهده کرد که ایشان تمایلی به در اختیار گرفتن جایگاهی برتر در بین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همکلاسی‌ها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دوستانشان از خود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نمی‌دهند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بسیار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جالب‌توجه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 که بدانیم علت این امر نیز که تعداد مدیران و مسئولان مرد از تعداد زنان بیشتر است نیز درست به همین ویژگی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برمی‌گردد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مردان از همان ابتدا به دنبال رسیدن به جایگاه برتر و به نمایش گذاشتن آن در گروه هستند در شرایطی که این ویژگی در زنان وجود ندارد. مشکل اصلی نیز درست از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همین‌جا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برمی‌آید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روابط کاری در جوامع امروزی بر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پایه‌ی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روابط جنسیتی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بناشده</w:t>
      </w:r>
      <w:r w:rsidR="007E4D86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از اساس نامتقارن هستند.</w:t>
      </w:r>
      <w:r w:rsidR="007E4D86"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10"/>
      </w:r>
    </w:p>
    <w:p w:rsidR="007E4D86" w:rsidRPr="0030030F" w:rsidRDefault="00A035EA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مردان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وزنان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دختران و پسران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ظرفیت‌های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اجتماعی یکسانی در اکثر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زمینه‌ها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دارند. تحقیقات تجربی بسیاری نیز که تا به امروز صورت گرفته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تصویر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می‌کشد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زمانی که پای رفتارهای فردگرایانه به میان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می‌آید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هر دو جنس در اکثر مواقع رفتارهایی را از خود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مختص جنس مذکر است: دختران و پسران در برابر اعضای گروه رقیب خود رفتاری تهاجمی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زمانی که صحبت از اتحاد به میان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می‌آید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هر دو جنس رفتاری را از خود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مختص جنش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مؤنث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است: ایشان میل به برابری و نیز توجه به نیازهای دیگران را به تصویر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می‌کشند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</w:p>
    <w:p w:rsidR="00A035EA" w:rsidRPr="0030030F" w:rsidRDefault="00A035EA" w:rsidP="000F6FE4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زندگی روزمره،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به‌خصوص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مدرسه، دختران و پسران توجه زیادی به این امر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می‌دهند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تفاوت‌هایشان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تصویر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کشیده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شود. در کشورهایی که مدارس مختلط است، دختران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به‌سرعت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پسرهایی که رفتاری زنانه دارند فاصله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می‌گیرند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بالعکس. در کلاس درس معلم نقش به سزایی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شکل‌گیری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تفاوت بین دو جنس ایفا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DC26F4"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11"/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معلمان اغلب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بی‌آنکه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متوجه باشند،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به‌صورت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ناخودآگاه</w:t>
      </w:r>
      <w:r w:rsidR="00DC26F4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تفاوت‌های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بین دختران و پسران استفاده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برای مثال هنگام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انجام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کارهای گروهی. حتی اگر معلمی این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مسئله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انکار کند، او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هیچ‌وقت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تذکرهای یکسانی را به دختران و پسران نداده و توجه یکسانی را نیز به ایشان ابراز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نمی‌کند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برای مثال معلمان در درس ریاضی کمتر از دختران کلاس کار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می‌کشد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کمتر ایشان را به حل مسائل تشویق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زمان کمتری را در اختیارشان قرار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می‌دهد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برای مثال در فرانسه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درمجموع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دانش آموزان پسران از آغاز دوران ابتدایی تا پایان 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سال دوم راهنمایی،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درمجموع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8155B7">
        <w:rPr>
          <w:rFonts w:ascii="Frutiger-Roman" w:hAnsi="Frutiger-Roman" w:cs="B Nazanin+ Regular"/>
          <w:sz w:val="28"/>
          <w:szCs w:val="28"/>
          <w:rtl/>
          <w:lang w:val="fr-FR" w:bidi="fa-IR"/>
        </w:rPr>
        <w:t>۳۶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ساعت بیشتر زمان در درس ریاضی در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اختیاردارند</w:t>
      </w:r>
      <w:r w:rsidR="00EB53EC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EB53EC" w:rsidRPr="0030030F">
        <w:rPr>
          <w:rStyle w:val="FootnoteReference"/>
          <w:rFonts w:ascii="Frutiger-Roman" w:hAnsi="Frutiger-Roman" w:cs="B Nazanin+ Regular"/>
          <w:sz w:val="28"/>
          <w:szCs w:val="28"/>
          <w:rtl/>
          <w:lang w:val="fr-FR"/>
        </w:rPr>
        <w:footnoteReference w:id="12"/>
      </w:r>
    </w:p>
    <w:p w:rsidR="00EB53EC" w:rsidRPr="0030030F" w:rsidRDefault="00FB0443" w:rsidP="0030030F">
      <w:pPr>
        <w:autoSpaceDE w:val="0"/>
        <w:autoSpaceDN w:val="0"/>
        <w:bidi/>
        <w:adjustRightInd w:val="0"/>
        <w:spacing w:after="0" w:line="360" w:lineRule="auto"/>
        <w:rPr>
          <w:rFonts w:ascii="Frutiger-Roman" w:hAnsi="Frutiger-Roman" w:cs="B Nazanin+ Regular"/>
          <w:sz w:val="28"/>
          <w:szCs w:val="28"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در پایان باید به این مهم اشاره شود که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ظرفیت‌ها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رفتارهای اجتماعی در کلاس درس با توجه به اینکه نظام آموزشی یک کشور بر اساس رقابت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بناشده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یا همکاری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اینکه دانش آموزان پس از موفقیت یا شکست چه تصویر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ذهنی‌ای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خود به دست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می‌آورند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، اینکه ماهیت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نقش‌های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اجتماعی در مدرسه </w:t>
      </w:r>
      <w:r w:rsidR="008155B7">
        <w:rPr>
          <w:rFonts w:ascii="Frutiger-Roman" w:hAnsi="Frutiger-Roman" w:cs="B Nazanin+ Regular" w:hint="cs"/>
          <w:sz w:val="28"/>
          <w:szCs w:val="28"/>
          <w:rtl/>
          <w:lang w:val="fr-FR"/>
        </w:rPr>
        <w:t>چیست</w:t>
      </w:r>
      <w:r w:rsidR="008155B7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(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برای مثال اینکه آیا در نظام آموزشی یک کشور توجه بیشتری نسبت به پسران ایفا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یا خیر)، تغییر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="0030030F"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</w:p>
    <w:p w:rsidR="0030030F" w:rsidRPr="00B23024" w:rsidRDefault="0030030F" w:rsidP="00B23024">
      <w:pPr>
        <w:bidi/>
        <w:spacing w:line="360" w:lineRule="auto"/>
        <w:rPr>
          <w:rFonts w:cs="B Nazanin+ Regular"/>
          <w:sz w:val="28"/>
          <w:szCs w:val="28"/>
          <w:lang w:val="fr-FR"/>
        </w:rPr>
      </w:pP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مطالعات و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تحقیق‌های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گسترده‌ای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تا به امروز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درزمینهٔ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ی روانشناسی اجتماعی و نیز آموزشی صورت پذیرفته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به‌خوبی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ما نشان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می‌دهد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موفقیت یا شکست در مدرسه تا چه اندازه بستگی مستقیم دارد به ماهیت وضعیتی که در نظام آموزشی یک کشور در اختیار دانش آموزان قرار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داده‌شده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یا </w:t>
      </w:r>
      <w:r w:rsidR="000F6FE4">
        <w:rPr>
          <w:rFonts w:ascii="Frutiger-Roman" w:hAnsi="Frutiger-Roman" w:cs="B Nazanin+ Regular" w:hint="cs"/>
          <w:sz w:val="28"/>
          <w:szCs w:val="28"/>
          <w:rtl/>
          <w:lang w:val="fr-FR"/>
        </w:rPr>
        <w:t>بعضاً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ایشان تحمیل </w:t>
      </w:r>
      <w:r w:rsidR="00B23024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می کند </w:t>
      </w:r>
      <w:r w:rsidRPr="0030030F">
        <w:rPr>
          <w:rFonts w:ascii="Frutiger-Roman" w:hAnsi="Frutiger-Roman" w:cs="B Nazanin+ Regular" w:hint="cs"/>
          <w:sz w:val="28"/>
          <w:szCs w:val="28"/>
          <w:rtl/>
          <w:lang w:val="fr-FR"/>
        </w:rPr>
        <w:t>...</w:t>
      </w:r>
    </w:p>
    <w:sectPr w:rsidR="0030030F" w:rsidRPr="00B2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7D" w:rsidRDefault="005E7C7D" w:rsidP="004F6440">
      <w:pPr>
        <w:spacing w:after="0" w:line="240" w:lineRule="auto"/>
      </w:pPr>
      <w:r>
        <w:separator/>
      </w:r>
    </w:p>
  </w:endnote>
  <w:endnote w:type="continuationSeparator" w:id="0">
    <w:p w:rsidR="005E7C7D" w:rsidRDefault="005E7C7D" w:rsidP="004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GroteskBE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Frutiger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7D" w:rsidRDefault="005E7C7D" w:rsidP="004F6440">
      <w:pPr>
        <w:spacing w:after="0" w:line="240" w:lineRule="auto"/>
      </w:pPr>
      <w:r>
        <w:separator/>
      </w:r>
    </w:p>
  </w:footnote>
  <w:footnote w:type="continuationSeparator" w:id="0">
    <w:p w:rsidR="005E7C7D" w:rsidRDefault="005E7C7D" w:rsidP="004F6440">
      <w:pPr>
        <w:spacing w:after="0" w:line="240" w:lineRule="auto"/>
      </w:pPr>
      <w:r>
        <w:continuationSeparator/>
      </w:r>
    </w:p>
  </w:footnote>
  <w:footnote w:id="1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</w:rPr>
        <w:t xml:space="preserve"> D.N. Ruble, K.S. Frey, « Social Comparison and Self-Evaluation in the Classroom : Developmental Changes in Knowledge and Function », dans J.C. Masters, W.P. Smith (dirs),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Social Comparison,</w:t>
      </w:r>
      <w:r w:rsidRPr="00004B1E">
        <w:rPr>
          <w:rFonts w:asciiTheme="majorBidi" w:hAnsiTheme="majorBidi" w:cstheme="majorBidi"/>
          <w:sz w:val="18"/>
          <w:szCs w:val="18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Social Justice and Relative</w:t>
      </w:r>
      <w:r w:rsidRPr="00004B1E">
        <w:rPr>
          <w:rFonts w:asciiTheme="majorBidi" w:hAnsiTheme="majorBidi" w:cstheme="majorBidi"/>
          <w:sz w:val="18"/>
          <w:szCs w:val="18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Deprivation</w:t>
      </w:r>
      <w:r w:rsidRPr="00004B1E">
        <w:rPr>
          <w:rFonts w:asciiTheme="majorBidi" w:hAnsiTheme="majorBidi" w:cstheme="majorBidi"/>
          <w:sz w:val="18"/>
          <w:szCs w:val="18"/>
        </w:rPr>
        <w:t>, Lawrence Erlbaum Associates, 1987.</w:t>
      </w:r>
    </w:p>
  </w:footnote>
  <w:footnote w:id="2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</w:rPr>
        <w:t xml:space="preserve">P. Huguet, F. Dumas, J.-M. Monteil, N. Genestoux,« Social Comparison Choices in the Classroom »,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European Journal of Social Psychology</w:t>
      </w:r>
      <w:r w:rsidRPr="00004B1E">
        <w:rPr>
          <w:rFonts w:asciiTheme="majorBidi" w:hAnsiTheme="majorBidi" w:cstheme="majorBidi"/>
          <w:sz w:val="18"/>
          <w:szCs w:val="18"/>
        </w:rPr>
        <w:t>, n° 31, 2001.</w:t>
      </w:r>
    </w:p>
  </w:footnote>
  <w:footnote w:id="3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  <w:lang w:val="fr-FR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J.-M. Monteil, P. Huguet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 xml:space="preserve">Réussir ou échouer à l’école : une question de contexte ?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Pug, 2002.</w:t>
      </w:r>
    </w:p>
  </w:footnote>
  <w:footnote w:id="4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3"/>
          <w:szCs w:val="13"/>
          <w:rtl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</w:rPr>
        <w:t xml:space="preserve">P. Huguet, S. Brunot, J.-M. Monteil, « Geometry versus Drawing : Changing the Meaning of the Task as a mean to Change Performance »,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Social</w:t>
      </w:r>
      <w:r w:rsidRPr="00004B1E">
        <w:rPr>
          <w:rFonts w:asciiTheme="majorBidi" w:hAnsiTheme="majorBidi" w:cstheme="majorBidi"/>
          <w:sz w:val="18"/>
          <w:szCs w:val="18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Psychology of Education</w:t>
      </w:r>
      <w:r w:rsidRPr="00004B1E">
        <w:rPr>
          <w:rFonts w:asciiTheme="majorBidi" w:hAnsiTheme="majorBidi" w:cstheme="majorBidi"/>
          <w:sz w:val="18"/>
          <w:szCs w:val="18"/>
        </w:rPr>
        <w:t>, n° 4, 2001.</w:t>
      </w:r>
    </w:p>
  </w:footnote>
  <w:footnote w:id="5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</w:rPr>
        <w:t xml:space="preserve">P. Huguet, M.-P. Galvaing, J.-M. Monteil, F. Dumas, « Social Presence Effects in the Stroop Task : Further Evidence for an Attentional View of Social Facilitation »,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Journal of Personality and</w:t>
      </w:r>
      <w:r w:rsidRPr="00004B1E">
        <w:rPr>
          <w:rFonts w:asciiTheme="majorBidi" w:hAnsiTheme="majorBidi" w:cstheme="majorBidi"/>
          <w:sz w:val="18"/>
          <w:szCs w:val="18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Social Psychology</w:t>
      </w:r>
      <w:r w:rsidRPr="00004B1E">
        <w:rPr>
          <w:rFonts w:asciiTheme="majorBidi" w:hAnsiTheme="majorBidi" w:cstheme="majorBidi"/>
          <w:sz w:val="18"/>
          <w:szCs w:val="18"/>
        </w:rPr>
        <w:t>, n° 77, 1999.</w:t>
      </w:r>
    </w:p>
  </w:footnote>
  <w:footnote w:id="6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3"/>
          <w:szCs w:val="13"/>
          <w:rtl/>
          <w:lang w:val="fr-FR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E. Drozda-Senkowska, P. Huguet, R. Gasparini, P. Rayou, « Acquisitions et régulations des compétences sociales », dans M. Kail, M. Fayol (dirs),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Les Sciences cognitives et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l’école. La question des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apprentissages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, Puf, 2003 ; M. Allès-Jardel (dir.), numéro spécial sur « Les compétences sociales »,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Revue internationale de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psychologie sociale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, t. XIV, n° 2, Pug, 2001.</w:t>
      </w:r>
    </w:p>
  </w:footnote>
  <w:footnote w:id="7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  <w:lang w:val="fr-FR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J.-C. Croizet, J.-P. Leyens,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Mauvaises réputations.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Réalités et enjeux de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la stigmatisation sociale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Armand Colin, 2003.</w:t>
      </w:r>
    </w:p>
  </w:footnote>
  <w:footnote w:id="8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3"/>
          <w:szCs w:val="13"/>
          <w:rtl/>
          <w:lang w:val="fr-FR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W. Doise, D. Mugny,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Le Développement social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de l’intelligence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InterÉditions, 1981.</w:t>
      </w:r>
    </w:p>
  </w:footnote>
  <w:footnote w:id="9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</w:rPr>
        <w:t>P. Huguet, J.-M. Monteil,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« The Influence of Social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Comparison with Less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Fortunate Others on Task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Performance : The Role of</w:t>
      </w:r>
    </w:p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3"/>
          <w:szCs w:val="13"/>
          <w:rtl/>
        </w:rPr>
      </w:pPr>
      <w:r w:rsidRPr="00004B1E">
        <w:rPr>
          <w:rFonts w:asciiTheme="majorBidi" w:hAnsiTheme="majorBidi" w:cstheme="majorBidi"/>
          <w:sz w:val="18"/>
          <w:szCs w:val="18"/>
        </w:rPr>
        <w:t>Gender Motivations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or Appropriate Norms »,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Sex Roles</w:t>
      </w:r>
      <w:r w:rsidRPr="00004B1E">
        <w:rPr>
          <w:rFonts w:asciiTheme="majorBidi" w:hAnsiTheme="majorBidi" w:cstheme="majorBidi"/>
          <w:sz w:val="18"/>
          <w:szCs w:val="18"/>
        </w:rPr>
        <w:t>, n° 33, 1995.</w:t>
      </w:r>
    </w:p>
  </w:footnote>
  <w:footnote w:id="10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>
        <w:rPr>
          <w:rFonts w:asciiTheme="majorBidi" w:hAnsiTheme="majorBidi" w:cstheme="majorBidi" w:hint="cs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M.-C. Hurtig,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 xml:space="preserve">M.-F. Pichevin,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La Différence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des sexes : questions de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psychologie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, Tierce, 1986 ;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F. Lorenzi-Cioldi,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Les Représentations des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groupes dominants</w:t>
      </w:r>
    </w:p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13"/>
          <w:szCs w:val="13"/>
          <w:rtl/>
        </w:rPr>
      </w:pP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et dominés. Collections</w:t>
      </w:r>
      <w:r w:rsidRPr="00004B1E">
        <w:rPr>
          <w:rFonts w:asciiTheme="majorBidi" w:hAnsiTheme="majorBidi" w:cstheme="majorBidi"/>
          <w:i/>
          <w:iCs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et agrégats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,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Pug, 2002.</w:t>
      </w:r>
    </w:p>
  </w:footnote>
  <w:footnote w:id="11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M. Duru-Bellat,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« Filles et garçons à l’école,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approches sociologiques et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psychosociales »,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Revue française de</w:t>
      </w:r>
    </w:p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  <w:rtl/>
        </w:rPr>
      </w:pPr>
      <w:r w:rsidRPr="00004B1E">
        <w:rPr>
          <w:rFonts w:asciiTheme="majorBidi" w:hAnsiTheme="majorBidi" w:cstheme="majorBidi"/>
          <w:i/>
          <w:iCs/>
          <w:sz w:val="18"/>
          <w:szCs w:val="18"/>
          <w:lang w:val="fr-FR"/>
        </w:rPr>
        <w:t>pédagogie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, n° 109,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  <w:lang w:val="fr-FR"/>
        </w:rPr>
        <w:t>oct.-déc. 1994.</w:t>
      </w:r>
    </w:p>
  </w:footnote>
  <w:footnote w:id="12">
    <w:p w:rsidR="00004B1E" w:rsidRPr="00004B1E" w:rsidRDefault="00004B1E" w:rsidP="00004B1E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3"/>
          <w:szCs w:val="13"/>
          <w:rtl/>
        </w:rPr>
      </w:pPr>
      <w:r w:rsidRPr="00004B1E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004B1E">
        <w:rPr>
          <w:rFonts w:asciiTheme="majorBidi" w:hAnsiTheme="majorBidi" w:cstheme="majorBidi"/>
          <w:sz w:val="18"/>
          <w:szCs w:val="18"/>
        </w:rPr>
        <w:t>J.S. Eccles, J.E. Jacobs,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« Social Forces Shape Maths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Attitudes and</w:t>
      </w:r>
      <w:r w:rsidRPr="00004B1E">
        <w:rPr>
          <w:rFonts w:asciiTheme="majorBidi" w:hAnsiTheme="majorBidi" w:cstheme="majorBidi"/>
          <w:sz w:val="18"/>
          <w:szCs w:val="18"/>
          <w:rtl/>
          <w:lang w:val="fr-FR"/>
        </w:rPr>
        <w:t xml:space="preserve"> </w:t>
      </w:r>
      <w:r w:rsidRPr="00004B1E">
        <w:rPr>
          <w:rFonts w:asciiTheme="majorBidi" w:hAnsiTheme="majorBidi" w:cstheme="majorBidi"/>
          <w:sz w:val="18"/>
          <w:szCs w:val="18"/>
        </w:rPr>
        <w:t>Performance »,</w:t>
      </w:r>
      <w:r w:rsidRPr="00004B1E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004B1E">
        <w:rPr>
          <w:rFonts w:asciiTheme="majorBidi" w:hAnsiTheme="majorBidi" w:cstheme="majorBidi"/>
          <w:i/>
          <w:iCs/>
          <w:sz w:val="18"/>
          <w:szCs w:val="18"/>
        </w:rPr>
        <w:t>Signs</w:t>
      </w:r>
      <w:r w:rsidRPr="00004B1E">
        <w:rPr>
          <w:rFonts w:asciiTheme="majorBidi" w:hAnsiTheme="majorBidi" w:cstheme="majorBidi"/>
          <w:sz w:val="18"/>
          <w:szCs w:val="18"/>
        </w:rPr>
        <w:t>, n° 11, 1986.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E0"/>
    <w:rsid w:val="00004B1E"/>
    <w:rsid w:val="000F6FE4"/>
    <w:rsid w:val="00183842"/>
    <w:rsid w:val="002B784A"/>
    <w:rsid w:val="0030030F"/>
    <w:rsid w:val="00317ED3"/>
    <w:rsid w:val="00363A66"/>
    <w:rsid w:val="00375193"/>
    <w:rsid w:val="003A7575"/>
    <w:rsid w:val="003D0173"/>
    <w:rsid w:val="003F5DB0"/>
    <w:rsid w:val="003F6597"/>
    <w:rsid w:val="00467F86"/>
    <w:rsid w:val="004F6440"/>
    <w:rsid w:val="005A5C20"/>
    <w:rsid w:val="005C6A72"/>
    <w:rsid w:val="005E7C7D"/>
    <w:rsid w:val="00744EE8"/>
    <w:rsid w:val="007E4D86"/>
    <w:rsid w:val="008155B7"/>
    <w:rsid w:val="00997E40"/>
    <w:rsid w:val="009C0FA3"/>
    <w:rsid w:val="00A035EA"/>
    <w:rsid w:val="00A15FD2"/>
    <w:rsid w:val="00B23024"/>
    <w:rsid w:val="00B324AD"/>
    <w:rsid w:val="00BA63F4"/>
    <w:rsid w:val="00C119B5"/>
    <w:rsid w:val="00CA5E36"/>
    <w:rsid w:val="00D75E4B"/>
    <w:rsid w:val="00D87B9E"/>
    <w:rsid w:val="00DC26F4"/>
    <w:rsid w:val="00DE3CEF"/>
    <w:rsid w:val="00E37C3D"/>
    <w:rsid w:val="00EA670E"/>
    <w:rsid w:val="00EB53EC"/>
    <w:rsid w:val="00EF2FE0"/>
    <w:rsid w:val="00F479CB"/>
    <w:rsid w:val="00F6409B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4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4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4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4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0681F01-5582-426F-962A-A1C362EA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aria1991</dc:creator>
  <cp:lastModifiedBy>Arad</cp:lastModifiedBy>
  <cp:revision>2</cp:revision>
  <dcterms:created xsi:type="dcterms:W3CDTF">2020-10-04T21:21:00Z</dcterms:created>
  <dcterms:modified xsi:type="dcterms:W3CDTF">2020-10-04T21:21:00Z</dcterms:modified>
</cp:coreProperties>
</file>